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0A0" w:rsidRPr="00166152" w:rsidRDefault="00D630A0" w:rsidP="00D630A0">
      <w:pPr>
        <w:ind w:firstLine="0"/>
      </w:pPr>
    </w:p>
    <w:p w:rsidR="00D630A0" w:rsidRPr="00166152" w:rsidRDefault="00D630A0" w:rsidP="00D630A0">
      <w:pPr>
        <w:ind w:firstLine="0"/>
      </w:pPr>
    </w:p>
    <w:p w:rsidR="00D630A0" w:rsidRPr="00166152" w:rsidRDefault="00D630A0" w:rsidP="00D630A0">
      <w:pPr>
        <w:ind w:firstLine="0"/>
      </w:pPr>
    </w:p>
    <w:p w:rsidR="00D630A0" w:rsidRPr="00166152" w:rsidRDefault="00D630A0" w:rsidP="00D630A0">
      <w:pPr>
        <w:ind w:firstLine="0"/>
      </w:pPr>
    </w:p>
    <w:p w:rsidR="00D630A0" w:rsidRPr="00166152" w:rsidRDefault="00D630A0" w:rsidP="00D630A0">
      <w:pPr>
        <w:ind w:firstLine="0"/>
      </w:pPr>
    </w:p>
    <w:p w:rsidR="00D630A0" w:rsidRPr="00166152" w:rsidRDefault="00D630A0" w:rsidP="00D630A0">
      <w:pPr>
        <w:ind w:firstLine="0"/>
      </w:pPr>
    </w:p>
    <w:p w:rsidR="00D630A0" w:rsidRPr="00166152" w:rsidRDefault="00D630A0" w:rsidP="00D630A0">
      <w:pPr>
        <w:ind w:firstLine="0"/>
      </w:pPr>
    </w:p>
    <w:p w:rsidR="00D630A0" w:rsidRPr="00166152" w:rsidRDefault="00D630A0" w:rsidP="00D630A0">
      <w:pPr>
        <w:ind w:firstLine="0"/>
      </w:pPr>
    </w:p>
    <w:p w:rsidR="00D630A0" w:rsidRPr="00166152" w:rsidRDefault="00D630A0" w:rsidP="00D630A0">
      <w:pPr>
        <w:ind w:firstLine="0"/>
        <w:jc w:val="center"/>
      </w:pPr>
    </w:p>
    <w:p w:rsidR="00D630A0" w:rsidRPr="00B073B5" w:rsidRDefault="00943F41" w:rsidP="00D630A0">
      <w:pPr>
        <w:ind w:firstLine="0"/>
        <w:jc w:val="center"/>
        <w:rPr>
          <w:b/>
        </w:rPr>
      </w:pPr>
      <w:r w:rsidRPr="00B073B5">
        <w:rPr>
          <w:b/>
        </w:rPr>
        <w:t>Ethical and Legal Issues in Nursing</w:t>
      </w:r>
    </w:p>
    <w:p w:rsidR="00D630A0" w:rsidRPr="00166152" w:rsidRDefault="00D630A0" w:rsidP="00D630A0">
      <w:pPr>
        <w:ind w:firstLine="0"/>
        <w:jc w:val="center"/>
      </w:pPr>
    </w:p>
    <w:p w:rsidR="00D630A0" w:rsidRPr="00166152" w:rsidRDefault="00943F41" w:rsidP="00D630A0">
      <w:pPr>
        <w:ind w:firstLine="0"/>
        <w:jc w:val="center"/>
      </w:pPr>
      <w:r w:rsidRPr="00166152">
        <w:t>Student’s Name</w:t>
      </w:r>
    </w:p>
    <w:p w:rsidR="00D630A0" w:rsidRDefault="00943F41" w:rsidP="00D630A0">
      <w:pPr>
        <w:ind w:firstLine="0"/>
        <w:jc w:val="center"/>
      </w:pPr>
      <w:r w:rsidRPr="00166152">
        <w:t>Institutional Affiliations</w:t>
      </w:r>
    </w:p>
    <w:p w:rsidR="00B073B5" w:rsidRDefault="00B073B5" w:rsidP="00D630A0">
      <w:pPr>
        <w:ind w:firstLine="0"/>
        <w:jc w:val="center"/>
      </w:pPr>
      <w:r>
        <w:t>Course Number</w:t>
      </w:r>
    </w:p>
    <w:p w:rsidR="00B073B5" w:rsidRDefault="00B073B5" w:rsidP="00D630A0">
      <w:pPr>
        <w:ind w:firstLine="0"/>
        <w:jc w:val="center"/>
      </w:pPr>
      <w:r>
        <w:t>Professor</w:t>
      </w:r>
    </w:p>
    <w:p w:rsidR="00B073B5" w:rsidRDefault="00B073B5" w:rsidP="00D630A0">
      <w:pPr>
        <w:ind w:firstLine="0"/>
        <w:jc w:val="center"/>
      </w:pPr>
      <w:r>
        <w:t>Date</w:t>
      </w:r>
    </w:p>
    <w:p w:rsidR="00B073B5" w:rsidRPr="00166152" w:rsidRDefault="00B073B5" w:rsidP="00D630A0">
      <w:pPr>
        <w:ind w:firstLine="0"/>
        <w:jc w:val="center"/>
      </w:pPr>
    </w:p>
    <w:p w:rsidR="00D630A0" w:rsidRPr="00166152" w:rsidRDefault="00943F41" w:rsidP="00D630A0">
      <w:pPr>
        <w:ind w:firstLine="0"/>
      </w:pPr>
      <w:r w:rsidRPr="00166152">
        <w:br w:type="page"/>
      </w:r>
    </w:p>
    <w:p w:rsidR="00166152" w:rsidRDefault="00943F41" w:rsidP="00166152">
      <w:pPr>
        <w:ind w:firstLine="0"/>
        <w:jc w:val="center"/>
        <w:rPr>
          <w:b/>
        </w:rPr>
      </w:pPr>
      <w:r w:rsidRPr="00166152">
        <w:rPr>
          <w:b/>
        </w:rPr>
        <w:lastRenderedPageBreak/>
        <w:t>Ethical and Legal Issues in</w:t>
      </w:r>
      <w:r>
        <w:rPr>
          <w:b/>
        </w:rPr>
        <w:t xml:space="preserve"> Nursing</w:t>
      </w:r>
    </w:p>
    <w:p w:rsidR="00D630A0" w:rsidRPr="00166152" w:rsidRDefault="00943F41" w:rsidP="00166152">
      <w:pPr>
        <w:rPr>
          <w:b/>
        </w:rPr>
      </w:pPr>
      <w:r>
        <w:t>T</w:t>
      </w:r>
      <w:r w:rsidRPr="00166152">
        <w:t>he right thing to do is to</w:t>
      </w:r>
      <w:r>
        <w:t xml:space="preserve"> allow</w:t>
      </w:r>
      <w:r w:rsidRPr="00166152">
        <w:t xml:space="preserve"> the doctor to give her food through the feeding pipe according to the ethical code of beneficence</w:t>
      </w:r>
      <w:r>
        <w:rPr>
          <w:rFonts w:cs="Arial"/>
          <w:color w:val="222222"/>
          <w:szCs w:val="20"/>
          <w:shd w:val="clear" w:color="auto" w:fill="FFFFFF"/>
        </w:rPr>
        <w:t xml:space="preserve"> (Butts</w:t>
      </w:r>
      <w:r w:rsidRPr="00166152">
        <w:rPr>
          <w:rFonts w:cs="Arial"/>
          <w:color w:val="222222"/>
          <w:szCs w:val="20"/>
          <w:shd w:val="clear" w:color="auto" w:fill="FFFFFF"/>
        </w:rPr>
        <w:t xml:space="preserve"> &amp; </w:t>
      </w:r>
      <w:r>
        <w:rPr>
          <w:rFonts w:cs="Arial"/>
          <w:color w:val="222222"/>
          <w:szCs w:val="20"/>
          <w:shd w:val="clear" w:color="auto" w:fill="FFFFFF"/>
        </w:rPr>
        <w:t>Rich,</w:t>
      </w:r>
      <w:r w:rsidRPr="00166152">
        <w:rPr>
          <w:rFonts w:cs="Arial"/>
          <w:color w:val="222222"/>
          <w:szCs w:val="20"/>
          <w:shd w:val="clear" w:color="auto" w:fill="FFFFFF"/>
        </w:rPr>
        <w:t xml:space="preserve"> 2019)</w:t>
      </w:r>
      <w:r w:rsidRPr="00166152">
        <w:t>.</w:t>
      </w:r>
      <w:r w:rsidR="009E4EB8" w:rsidRPr="00166152">
        <w:t xml:space="preserve"> Maintaining the code of beneficence is essential in this case study. </w:t>
      </w:r>
      <w:r w:rsidR="00173DA5" w:rsidRPr="00166152">
        <w:t>The study shows that to save Ann's life, she needs to be fed using a feeding tube. However, there was an agreement between Ann and Frank where Ann told frank that she would not like to be put into a breathing machine if there were no chances of survival. Ann needs to be put into a feeding machine under the current situation since she had refused to eat. Frank's ethical to allow the doctor to feed Ann through the feeding machine to prevent her from starving. I would recommend that saving Ann should be feed using the feeding pipe to save her life, e</w:t>
      </w:r>
      <w:r w:rsidR="008E5616" w:rsidRPr="00166152">
        <w:t xml:space="preserve">ven if this is contrary to her last wish. </w:t>
      </w:r>
    </w:p>
    <w:p w:rsidR="008E5616" w:rsidRPr="00166152" w:rsidRDefault="00943F41" w:rsidP="00166152">
      <w:pPr>
        <w:rPr>
          <w:rFonts w:cs="Arial"/>
          <w:color w:val="222222"/>
          <w:szCs w:val="20"/>
          <w:shd w:val="clear" w:color="auto" w:fill="FFFFFF"/>
        </w:rPr>
      </w:pPr>
      <w:r w:rsidRPr="00166152">
        <w:t xml:space="preserve">Secondly, I would allow the administration of food to Anne because this would play an essential role in saving the </w:t>
      </w:r>
      <w:r w:rsidR="000F756A" w:rsidRPr="00166152">
        <w:t xml:space="preserve">life. </w:t>
      </w:r>
      <w:r w:rsidRPr="00166152">
        <w:t xml:space="preserve">Allowing food administration through the </w:t>
      </w:r>
      <w:r w:rsidR="000F756A" w:rsidRPr="00166152">
        <w:t>feeding</w:t>
      </w:r>
      <w:r w:rsidRPr="00166152">
        <w:t xml:space="preserve"> pipe would satisfy </w:t>
      </w:r>
      <w:r w:rsidR="00166152" w:rsidRPr="00166152">
        <w:t>nonmaleficence</w:t>
      </w:r>
      <w:r w:rsidR="00166152">
        <w:rPr>
          <w:rFonts w:cs="Arial"/>
          <w:color w:val="222222"/>
          <w:szCs w:val="20"/>
          <w:shd w:val="clear" w:color="auto" w:fill="FFFFFF"/>
        </w:rPr>
        <w:t>'s ethical code (</w:t>
      </w:r>
      <w:r w:rsidR="00166152" w:rsidRPr="00166152">
        <w:rPr>
          <w:rFonts w:cs="Arial"/>
          <w:color w:val="222222"/>
          <w:szCs w:val="20"/>
          <w:shd w:val="clear" w:color="auto" w:fill="FFFFFF"/>
        </w:rPr>
        <w:t>Ch</w:t>
      </w:r>
      <w:r w:rsidR="00166152">
        <w:rPr>
          <w:rFonts w:cs="Arial"/>
          <w:color w:val="222222"/>
          <w:szCs w:val="20"/>
          <w:shd w:val="clear" w:color="auto" w:fill="FFFFFF"/>
        </w:rPr>
        <w:t>erry &amp; Jacob, 2016)</w:t>
      </w:r>
      <w:r w:rsidRPr="00166152">
        <w:t xml:space="preserve">. The ethical code of </w:t>
      </w:r>
      <w:r w:rsidR="00B073B5" w:rsidRPr="00166152">
        <w:t>no maleficence</w:t>
      </w:r>
      <w:r w:rsidR="000F756A" w:rsidRPr="00166152">
        <w:t xml:space="preserve"> provides that the health care professional is responsible for avoiding harm to the patient. In this case, frank is a significant stakeholder in the healthcare team of his wife, Ann. Therefore, he should adhere to this code and prevent the harm resulting from starvation if Ann continues to live without food.</w:t>
      </w:r>
    </w:p>
    <w:p w:rsidR="00B3002B" w:rsidRPr="00166152" w:rsidRDefault="00943F41" w:rsidP="00B3002B">
      <w:pPr>
        <w:jc w:val="center"/>
        <w:rPr>
          <w:b/>
        </w:rPr>
      </w:pPr>
      <w:r w:rsidRPr="00166152">
        <w:rPr>
          <w:b/>
        </w:rPr>
        <w:t>The legal decision</w:t>
      </w:r>
    </w:p>
    <w:p w:rsidR="00B3002B" w:rsidRPr="00166152" w:rsidRDefault="00943F41" w:rsidP="00166152">
      <w:r w:rsidRPr="00166152">
        <w:t>In this case, the legal decision is to give the doctor permission to give Anna the proper treatment. It is the family member's legal responsibility to consent to a particular health operation concerning the patient</w:t>
      </w:r>
      <w:r w:rsidR="00166152" w:rsidRPr="00166152">
        <w:t>. It is the legal responsibility of all the health care stakeholders to protect the patient's life and avoid any instance of negligence or omission</w:t>
      </w:r>
      <w:r w:rsidR="00166152">
        <w:rPr>
          <w:rFonts w:cs="Arial"/>
          <w:color w:val="222222"/>
          <w:szCs w:val="20"/>
          <w:shd w:val="clear" w:color="auto" w:fill="FFFFFF"/>
        </w:rPr>
        <w:t xml:space="preserve"> (</w:t>
      </w:r>
      <w:r w:rsidR="00166152" w:rsidRPr="00166152">
        <w:rPr>
          <w:rFonts w:cs="Arial"/>
          <w:color w:val="222222"/>
          <w:szCs w:val="20"/>
          <w:shd w:val="clear" w:color="auto" w:fill="FFFFFF"/>
        </w:rPr>
        <w:t>Ch</w:t>
      </w:r>
      <w:r w:rsidR="00166152">
        <w:rPr>
          <w:rFonts w:cs="Arial"/>
          <w:color w:val="222222"/>
          <w:szCs w:val="20"/>
          <w:shd w:val="clear" w:color="auto" w:fill="FFFFFF"/>
        </w:rPr>
        <w:t>erry &amp; Jacob, 2016)</w:t>
      </w:r>
      <w:r w:rsidR="00166152" w:rsidRPr="00166152">
        <w:t>.</w:t>
      </w:r>
      <w:r w:rsidRPr="00166152">
        <w:t xml:space="preserve"> I would oversee the administration of the treatment, even the pipe feeding program. This is because the agreement with Ann was against putting her into a breathing machine. The pipe feeding program does not go against the promise that was made earlier. Lastly, giving the nurse permission to give Ann food using the feeding pipe plays a significant legal issue of protecting life. </w:t>
      </w:r>
    </w:p>
    <w:p w:rsidR="004F32AC" w:rsidRPr="00166152" w:rsidRDefault="00943F41" w:rsidP="004F32AC">
      <w:pPr>
        <w:ind w:firstLine="0"/>
        <w:jc w:val="center"/>
        <w:rPr>
          <w:b/>
        </w:rPr>
      </w:pPr>
      <w:r w:rsidRPr="00166152">
        <w:rPr>
          <w:b/>
        </w:rPr>
        <w:t>Ethical and legal advice</w:t>
      </w:r>
    </w:p>
    <w:p w:rsidR="004F32AC" w:rsidRPr="00166152" w:rsidRDefault="00943F41" w:rsidP="00DB7E8F">
      <w:r w:rsidRPr="00166152">
        <w:t xml:space="preserve">Basing on the legal and ethical issues provided in the nursing Act, I would </w:t>
      </w:r>
      <w:r w:rsidR="006975B1" w:rsidRPr="00166152">
        <w:t>advise</w:t>
      </w:r>
      <w:r w:rsidRPr="00166152">
        <w:t xml:space="preserve"> Frank and Sarah to allow Ann to be feed with a feeding pipe. Granting permission to feed </w:t>
      </w:r>
      <w:r w:rsidR="006975B1" w:rsidRPr="00166152">
        <w:t>Ann</w:t>
      </w:r>
      <w:r w:rsidRPr="00166152">
        <w:t xml:space="preserve"> </w:t>
      </w:r>
      <w:r w:rsidR="006975B1" w:rsidRPr="00166152">
        <w:t>with</w:t>
      </w:r>
      <w:r w:rsidRPr="00166152">
        <w:t xml:space="preserve"> a feeding pipe complies with the ethical issues related to nursing. This is because </w:t>
      </w:r>
      <w:r w:rsidR="006975B1" w:rsidRPr="00166152">
        <w:t xml:space="preserve">it helps to avoid harm related to starvation by the patient. Secondly, I would like to advise them to consider what the patient would like to be done; however, it is essential to understand that the </w:t>
      </w:r>
      <w:r w:rsidR="00A34F2B" w:rsidRPr="00166152">
        <w:t>patient</w:t>
      </w:r>
      <w:r w:rsidR="006975B1" w:rsidRPr="00166152">
        <w:t xml:space="preserve"> had requested not to be put in a breat</w:t>
      </w:r>
      <w:r w:rsidR="00A34F2B" w:rsidRPr="00166152">
        <w:t xml:space="preserve">hing machine. </w:t>
      </w:r>
      <w:r w:rsidR="00485976" w:rsidRPr="00166152">
        <w:t>According</w:t>
      </w:r>
      <w:r w:rsidR="00A34F2B" w:rsidRPr="00166152">
        <w:t xml:space="preserve"> to the legal issue, in this case, the patient can be feed through the pipe because the patient insisted not to be put on the </w:t>
      </w:r>
      <w:r w:rsidR="00485976" w:rsidRPr="00166152">
        <w:t>breathing</w:t>
      </w:r>
      <w:r w:rsidR="00A34F2B" w:rsidRPr="00166152">
        <w:t xml:space="preserve"> machine and not the feeding machine. Therefore </w:t>
      </w:r>
      <w:r w:rsidR="00485976" w:rsidRPr="00166152">
        <w:t>using</w:t>
      </w:r>
      <w:r w:rsidR="00A34F2B" w:rsidRPr="00166152">
        <w:t xml:space="preserve"> the feeding pipe </w:t>
      </w:r>
      <w:r w:rsidR="00485976" w:rsidRPr="00166152">
        <w:t>does not</w:t>
      </w:r>
      <w:r w:rsidR="00A34F2B" w:rsidRPr="00166152">
        <w:t xml:space="preserve"> go against the patient’s </w:t>
      </w:r>
      <w:r w:rsidR="00485976" w:rsidRPr="00166152">
        <w:t>will. In conclusion, Frank should agree on using feeding pipe to Ann because it contributes to saving her life, and it is not against her will.</w:t>
      </w:r>
    </w:p>
    <w:p w:rsidR="00485976" w:rsidRPr="00166152" w:rsidRDefault="00485976" w:rsidP="004F32AC">
      <w:pPr>
        <w:ind w:firstLine="0"/>
      </w:pPr>
    </w:p>
    <w:p w:rsidR="00485976" w:rsidRPr="00166152" w:rsidRDefault="00485976" w:rsidP="004F32AC">
      <w:pPr>
        <w:ind w:firstLine="0"/>
      </w:pPr>
    </w:p>
    <w:p w:rsidR="00485976" w:rsidRPr="00166152" w:rsidRDefault="00485976" w:rsidP="004F32AC">
      <w:pPr>
        <w:ind w:firstLine="0"/>
      </w:pPr>
    </w:p>
    <w:p w:rsidR="00485976" w:rsidRPr="00166152" w:rsidRDefault="00485976" w:rsidP="004F32AC">
      <w:pPr>
        <w:ind w:firstLine="0"/>
      </w:pPr>
    </w:p>
    <w:p w:rsidR="00485976" w:rsidRDefault="00485976" w:rsidP="004F32AC">
      <w:pPr>
        <w:ind w:firstLine="0"/>
      </w:pPr>
    </w:p>
    <w:p w:rsidR="00B073B5" w:rsidRPr="00166152" w:rsidRDefault="00B073B5" w:rsidP="004F32AC">
      <w:pPr>
        <w:ind w:firstLine="0"/>
      </w:pPr>
      <w:bookmarkStart w:id="0" w:name="_GoBack"/>
      <w:bookmarkEnd w:id="0"/>
    </w:p>
    <w:p w:rsidR="00485976" w:rsidRPr="00166152" w:rsidRDefault="00485976" w:rsidP="004F32AC">
      <w:pPr>
        <w:ind w:firstLine="0"/>
      </w:pPr>
    </w:p>
    <w:p w:rsidR="00485976" w:rsidRPr="00166152" w:rsidRDefault="00485976" w:rsidP="004F32AC">
      <w:pPr>
        <w:ind w:firstLine="0"/>
      </w:pPr>
    </w:p>
    <w:p w:rsidR="00485976" w:rsidRPr="00166152" w:rsidRDefault="00943F41" w:rsidP="00485976">
      <w:pPr>
        <w:ind w:firstLine="0"/>
        <w:jc w:val="center"/>
        <w:rPr>
          <w:b/>
        </w:rPr>
      </w:pPr>
      <w:r w:rsidRPr="00166152">
        <w:rPr>
          <w:b/>
        </w:rPr>
        <w:t>References</w:t>
      </w:r>
    </w:p>
    <w:p w:rsidR="00166152" w:rsidRPr="00166152" w:rsidRDefault="00943F41" w:rsidP="00166152">
      <w:pPr>
        <w:ind w:left="720" w:hanging="720"/>
      </w:pPr>
      <w:r w:rsidRPr="00166152">
        <w:rPr>
          <w:rFonts w:cs="Arial"/>
          <w:color w:val="222222"/>
          <w:szCs w:val="20"/>
          <w:shd w:val="clear" w:color="auto" w:fill="FFFFFF"/>
        </w:rPr>
        <w:t>Butts, J. B., &amp; Rich, K. L. (2019). </w:t>
      </w:r>
      <w:r w:rsidRPr="00166152">
        <w:rPr>
          <w:rFonts w:cs="Arial"/>
          <w:i/>
          <w:iCs/>
          <w:color w:val="222222"/>
          <w:szCs w:val="20"/>
          <w:shd w:val="clear" w:color="auto" w:fill="FFFFFF"/>
        </w:rPr>
        <w:t>Nursing ethics</w:t>
      </w:r>
      <w:r w:rsidRPr="00166152">
        <w:rPr>
          <w:rFonts w:cs="Arial"/>
          <w:color w:val="222222"/>
          <w:szCs w:val="20"/>
          <w:shd w:val="clear" w:color="auto" w:fill="FFFFFF"/>
        </w:rPr>
        <w:t>. Jones &amp; Bartlett Learning.</w:t>
      </w:r>
    </w:p>
    <w:p w:rsidR="00166152" w:rsidRPr="00166152" w:rsidRDefault="00943F41" w:rsidP="00166152">
      <w:pPr>
        <w:ind w:left="720" w:hanging="720"/>
        <w:rPr>
          <w:rFonts w:cs="Arial"/>
          <w:color w:val="222222"/>
          <w:szCs w:val="20"/>
          <w:shd w:val="clear" w:color="auto" w:fill="FFFFFF"/>
        </w:rPr>
      </w:pPr>
      <w:r w:rsidRPr="00166152">
        <w:rPr>
          <w:rFonts w:cs="Arial"/>
          <w:color w:val="222222"/>
          <w:szCs w:val="20"/>
          <w:shd w:val="clear" w:color="auto" w:fill="FFFFFF"/>
        </w:rPr>
        <w:t>Cherry, B., &amp; Jacob, S. R. (2016). </w:t>
      </w:r>
      <w:r w:rsidRPr="00166152">
        <w:rPr>
          <w:rFonts w:cs="Arial"/>
          <w:i/>
          <w:iCs/>
          <w:color w:val="222222"/>
          <w:szCs w:val="20"/>
          <w:shd w:val="clear" w:color="auto" w:fill="FFFFFF"/>
        </w:rPr>
        <w:t>Contemporary nursing: Issues, trends, &amp; management</w:t>
      </w:r>
      <w:r w:rsidRPr="00166152">
        <w:rPr>
          <w:rFonts w:cs="Arial"/>
          <w:color w:val="222222"/>
          <w:szCs w:val="20"/>
          <w:shd w:val="clear" w:color="auto" w:fill="FFFFFF"/>
        </w:rPr>
        <w:t>. Elsevier Health Sciences.</w:t>
      </w:r>
    </w:p>
    <w:p w:rsidR="00166152" w:rsidRPr="00166152" w:rsidRDefault="00943F41" w:rsidP="00166152">
      <w:pPr>
        <w:ind w:left="720" w:hanging="720"/>
      </w:pPr>
      <w:r w:rsidRPr="00166152">
        <w:rPr>
          <w:rFonts w:cs="Arial"/>
          <w:color w:val="222222"/>
          <w:szCs w:val="20"/>
          <w:shd w:val="clear" w:color="auto" w:fill="FFFFFF"/>
        </w:rPr>
        <w:t>Cherry, B., &amp; Jacob, S. R. (2016). </w:t>
      </w:r>
      <w:r w:rsidRPr="00166152">
        <w:rPr>
          <w:rFonts w:cs="Arial"/>
          <w:i/>
          <w:iCs/>
          <w:color w:val="222222"/>
          <w:szCs w:val="20"/>
          <w:shd w:val="clear" w:color="auto" w:fill="FFFFFF"/>
        </w:rPr>
        <w:t>Contemporary nursing: Issues, trends, &amp; management</w:t>
      </w:r>
      <w:r w:rsidRPr="00166152">
        <w:rPr>
          <w:rFonts w:cs="Arial"/>
          <w:color w:val="222222"/>
          <w:szCs w:val="20"/>
          <w:shd w:val="clear" w:color="auto" w:fill="FFFFFF"/>
        </w:rPr>
        <w:t>. Elsevier Health Sciences.</w:t>
      </w:r>
    </w:p>
    <w:p w:rsidR="008E5616" w:rsidRPr="00166152" w:rsidRDefault="008E5616" w:rsidP="00D630A0">
      <w:pPr>
        <w:ind w:firstLine="0"/>
      </w:pPr>
    </w:p>
    <w:p w:rsidR="008E5616" w:rsidRPr="00166152" w:rsidRDefault="008E5616" w:rsidP="00D630A0">
      <w:pPr>
        <w:ind w:firstLine="0"/>
      </w:pPr>
    </w:p>
    <w:p w:rsidR="00D630A0" w:rsidRPr="00166152" w:rsidRDefault="00D630A0"/>
    <w:p w:rsidR="00AB165D" w:rsidRPr="00166152" w:rsidRDefault="00943F41" w:rsidP="00D630A0">
      <w:pPr>
        <w:tabs>
          <w:tab w:val="left" w:pos="1755"/>
        </w:tabs>
      </w:pPr>
      <w:r w:rsidRPr="00166152">
        <w:tab/>
      </w:r>
    </w:p>
    <w:sectPr w:rsidR="00AB165D" w:rsidRPr="00166152" w:rsidSect="00D630A0">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428" w:rsidRDefault="00240428">
      <w:pPr>
        <w:spacing w:after="0" w:line="240" w:lineRule="auto"/>
      </w:pPr>
      <w:r>
        <w:separator/>
      </w:r>
    </w:p>
  </w:endnote>
  <w:endnote w:type="continuationSeparator" w:id="0">
    <w:p w:rsidR="00240428" w:rsidRDefault="00240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428" w:rsidRDefault="00240428">
      <w:pPr>
        <w:spacing w:after="0" w:line="240" w:lineRule="auto"/>
      </w:pPr>
      <w:r>
        <w:separator/>
      </w:r>
    </w:p>
  </w:footnote>
  <w:footnote w:type="continuationSeparator" w:id="0">
    <w:p w:rsidR="00240428" w:rsidRDefault="002404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16912"/>
      <w:docPartObj>
        <w:docPartGallery w:val="Page Numbers (Top of Page)"/>
        <w:docPartUnique/>
      </w:docPartObj>
    </w:sdtPr>
    <w:sdtEndPr>
      <w:rPr>
        <w:noProof/>
      </w:rPr>
    </w:sdtEndPr>
    <w:sdtContent>
      <w:p w:rsidR="00D630A0" w:rsidRDefault="00B073B5" w:rsidP="00D630A0">
        <w:pPr>
          <w:pStyle w:val="Header"/>
          <w:ind w:firstLine="0"/>
        </w:pPr>
        <w:r>
          <w:tab/>
        </w:r>
        <w:r w:rsidR="00943F41">
          <w:tab/>
        </w:r>
        <w:r w:rsidR="00943F41">
          <w:fldChar w:fldCharType="begin"/>
        </w:r>
        <w:r w:rsidR="00943F41">
          <w:instrText xml:space="preserve"> PAGE   \* MERGEFORMAT </w:instrText>
        </w:r>
        <w:r w:rsidR="00943F41">
          <w:fldChar w:fldCharType="separate"/>
        </w:r>
        <w:r>
          <w:rPr>
            <w:noProof/>
          </w:rPr>
          <w:t>3</w:t>
        </w:r>
        <w:r w:rsidR="00943F41">
          <w:rPr>
            <w:noProof/>
          </w:rPr>
          <w:fldChar w:fldCharType="end"/>
        </w:r>
      </w:p>
    </w:sdtContent>
  </w:sdt>
  <w:p w:rsidR="00D630A0" w:rsidRDefault="00D630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0A0" w:rsidRDefault="00B073B5" w:rsidP="00D630A0">
    <w:pPr>
      <w:pStyle w:val="Header"/>
      <w:ind w:firstLine="0"/>
    </w:pPr>
    <w:r>
      <w:tab/>
    </w:r>
    <w:r w:rsidR="00943F41">
      <w:tab/>
    </w:r>
    <w:sdt>
      <w:sdtPr>
        <w:id w:val="2140450007"/>
        <w:docPartObj>
          <w:docPartGallery w:val="Page Numbers (Top of Page)"/>
          <w:docPartUnique/>
        </w:docPartObj>
      </w:sdtPr>
      <w:sdtEndPr>
        <w:rPr>
          <w:noProof/>
        </w:rPr>
      </w:sdtEndPr>
      <w:sdtContent>
        <w:r w:rsidR="00943F41">
          <w:fldChar w:fldCharType="begin"/>
        </w:r>
        <w:r w:rsidR="00943F41">
          <w:instrText xml:space="preserve"> PAGE   \* MERGEFORMAT </w:instrText>
        </w:r>
        <w:r w:rsidR="00943F41">
          <w:fldChar w:fldCharType="separate"/>
        </w:r>
        <w:r w:rsidR="00240428">
          <w:rPr>
            <w:noProof/>
          </w:rPr>
          <w:t>1</w:t>
        </w:r>
        <w:r w:rsidR="00943F41">
          <w:rPr>
            <w:noProof/>
          </w:rPr>
          <w:fldChar w:fldCharType="end"/>
        </w:r>
      </w:sdtContent>
    </w:sdt>
  </w:p>
  <w:p w:rsidR="00D630A0" w:rsidRDefault="00D630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0A0"/>
    <w:rsid w:val="000F756A"/>
    <w:rsid w:val="00166152"/>
    <w:rsid w:val="00173DA5"/>
    <w:rsid w:val="00240428"/>
    <w:rsid w:val="00485976"/>
    <w:rsid w:val="004F32AC"/>
    <w:rsid w:val="006975B1"/>
    <w:rsid w:val="008E5616"/>
    <w:rsid w:val="00943F41"/>
    <w:rsid w:val="009E4EB8"/>
    <w:rsid w:val="00A34F2B"/>
    <w:rsid w:val="00AB165D"/>
    <w:rsid w:val="00B073B5"/>
    <w:rsid w:val="00B3002B"/>
    <w:rsid w:val="00D23467"/>
    <w:rsid w:val="00D630A0"/>
    <w:rsid w:val="00DB7E8F"/>
    <w:rsid w:val="00E15821"/>
    <w:rsid w:val="00EB0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D3E2F8-09FF-4AEC-A566-12B52675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0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0A0"/>
  </w:style>
  <w:style w:type="paragraph" w:styleId="Footer">
    <w:name w:val="footer"/>
    <w:basedOn w:val="Normal"/>
    <w:link w:val="FooterChar"/>
    <w:uiPriority w:val="99"/>
    <w:unhideWhenUsed/>
    <w:rsid w:val="00D630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2021-04-13T06:00:00Z</dcterms:created>
  <dcterms:modified xsi:type="dcterms:W3CDTF">2021-04-13T06:00:00Z</dcterms:modified>
</cp:coreProperties>
</file>